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57" w:rsidRDefault="00D439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ДИАГНОСТИЧЕСКИЙ ИНСТРУМЕНТАРИЙ </w:t>
      </w:r>
    </w:p>
    <w:p w:rsidR="00B67A57" w:rsidRDefault="00D439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позволяющий определить уровень </w:t>
      </w:r>
      <w:r w:rsidR="008B2F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исследовательских умений и технологических компетенций в развитии предпосылок инженерного мышления у детей старшего дошкольного возраста.</w:t>
      </w:r>
    </w:p>
    <w:p w:rsidR="00B67A57" w:rsidRDefault="00B67A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B67A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B6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выявить уровень </w:t>
      </w:r>
      <w:r w:rsidR="008B2F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исследовательских умений и технологических компетенций в развитии предпосылок инженерного мышления у детей старшего дошкольного возраста</w:t>
      </w: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Провести диагностику уровня </w:t>
      </w:r>
      <w:r w:rsidR="008B2F0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исследовательских умений и т</w:t>
      </w:r>
      <w:r>
        <w:rPr>
          <w:rFonts w:ascii="Times New Roman" w:eastAsia="Times New Roman" w:hAnsi="Times New Roman" w:cs="Times New Roman"/>
          <w:sz w:val="24"/>
          <w:szCs w:val="24"/>
        </w:rPr>
        <w:t>ехнологических компетенций в развитии предпосылок инженерного мышления у детей старшего дошкольного возраста.</w:t>
      </w: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Обобщить полученные результаты.</w:t>
      </w: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Установить типичные затруднения, которые испытывают дети при овладении навыками и умениями исследовательской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конструктивной деятельности.</w:t>
      </w: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Наметить основные пути преодоления выявленных затруднений.</w:t>
      </w: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наблюдение, индивидуальный опрос, анализ деятельности детей, метод математической обр</w:t>
      </w:r>
      <w:r>
        <w:rPr>
          <w:rFonts w:ascii="Times New Roman" w:eastAsia="Times New Roman" w:hAnsi="Times New Roman" w:cs="Times New Roman"/>
          <w:sz w:val="24"/>
          <w:szCs w:val="24"/>
        </w:rPr>
        <w:t>аботки данных.</w:t>
      </w:r>
    </w:p>
    <w:p w:rsidR="00B67A57" w:rsidRDefault="00B6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и показатели выявления уровня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исследовательских умений</w:t>
      </w:r>
    </w:p>
    <w:p w:rsidR="00B67A57" w:rsidRDefault="00B6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Критерии и показа</w:t>
      </w:r>
      <w:r>
        <w:rPr>
          <w:rFonts w:ascii="Times New Roman" w:eastAsia="Times New Roman" w:hAnsi="Times New Roman" w:cs="Times New Roman"/>
          <w:sz w:val="24"/>
          <w:szCs w:val="24"/>
        </w:rPr>
        <w:t>тели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выявления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исследовательских умений, а также диагностические задания были разработаны на констатирующем этапе эксперимента с опорой на исследования А.И. Савенкова, А.Н.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Поддъякова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исследовательской деятельности</w:t>
      </w:r>
    </w:p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6"/>
        <w:gridCol w:w="4111"/>
      </w:tblGrid>
      <w:tr w:rsidR="00B67A57">
        <w:tc>
          <w:tcPr>
            <w:tcW w:w="704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4111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Диагностическое задание</w:t>
            </w:r>
          </w:p>
        </w:tc>
      </w:tr>
      <w:tr w:rsidR="00B67A57">
        <w:tc>
          <w:tcPr>
            <w:tcW w:w="704" w:type="dxa"/>
            <w:vMerge w:val="restart"/>
          </w:tcPr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проблемы </w:t>
            </w:r>
          </w:p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(находит противоречие, формулирует проблему)</w:t>
            </w:r>
          </w:p>
        </w:tc>
        <w:tc>
          <w:tcPr>
            <w:tcW w:w="4111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Диагностическое задание 1 «Умение видеть проблему» </w:t>
            </w:r>
          </w:p>
        </w:tc>
      </w:tr>
      <w:tr w:rsidR="00B67A57">
        <w:tc>
          <w:tcPr>
            <w:tcW w:w="704" w:type="dxa"/>
            <w:vMerge/>
          </w:tcPr>
          <w:p w:rsidR="00B67A57" w:rsidRDefault="00B6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7A57" w:rsidRDefault="00B6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задание 2 «Умение выдвигать гипотезы»</w:t>
            </w:r>
          </w:p>
        </w:tc>
      </w:tr>
      <w:tr w:rsidR="00B67A57">
        <w:tc>
          <w:tcPr>
            <w:tcW w:w="704" w:type="dxa"/>
          </w:tcPr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вопросов</w:t>
            </w:r>
          </w:p>
        </w:tc>
        <w:tc>
          <w:tcPr>
            <w:tcW w:w="4111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задание 3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«Умение задавать вопросы»</w:t>
            </w:r>
          </w:p>
        </w:tc>
      </w:tr>
      <w:tr w:rsidR="00B67A57">
        <w:tc>
          <w:tcPr>
            <w:tcW w:w="704" w:type="dxa"/>
          </w:tcPr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рассуждать, описывать явления,</w:t>
            </w:r>
          </w:p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и обобщать</w:t>
            </w:r>
          </w:p>
        </w:tc>
        <w:tc>
          <w:tcPr>
            <w:tcW w:w="4111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задание 4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«Умение рассуждать»</w:t>
            </w:r>
          </w:p>
        </w:tc>
      </w:tr>
      <w:tr w:rsidR="00B67A57">
        <w:tc>
          <w:tcPr>
            <w:tcW w:w="704" w:type="dxa"/>
          </w:tcPr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самостоятельности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4111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задание 5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«Умение проводить эксперимент»</w:t>
            </w:r>
          </w:p>
        </w:tc>
      </w:tr>
    </w:tbl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40E" w:rsidRDefault="008A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657850" cy="39433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6EA8" w:rsidRDefault="0002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Уровни сформированности исследовательской деятельности: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низкий уровень – 1 балл</w:t>
      </w:r>
      <w:r>
        <w:rPr>
          <w:rFonts w:ascii="Times New Roman" w:eastAsia="Times New Roman" w:hAnsi="Times New Roman" w:cs="Times New Roman"/>
          <w:sz w:val="24"/>
          <w:szCs w:val="24"/>
        </w:rPr>
        <w:t>; характеризуется низким познавательным интересом; отсутствием активности в поиске проблемы; неумением самостоятельно сформулировать во</w:t>
      </w:r>
      <w:r>
        <w:rPr>
          <w:rFonts w:ascii="Times New Roman" w:eastAsia="Times New Roman" w:hAnsi="Times New Roman" w:cs="Times New Roman"/>
          <w:sz w:val="24"/>
          <w:szCs w:val="24"/>
        </w:rPr>
        <w:t>просы; неправильностью выстраивания гипотезы, планированием своей деятельности; затруднениями в подготовке материала и достижении поставленной цели; трудностями в речевых формулировках, неумением обсудить результаты;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 средний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2 балла</w:t>
      </w:r>
      <w:r>
        <w:rPr>
          <w:rFonts w:ascii="Times New Roman" w:eastAsia="Times New Roman" w:hAnsi="Times New Roman" w:cs="Times New Roman"/>
          <w:sz w:val="24"/>
          <w:szCs w:val="24"/>
        </w:rPr>
        <w:t>; характериз</w:t>
      </w:r>
      <w:r>
        <w:rPr>
          <w:rFonts w:ascii="Times New Roman" w:eastAsia="Times New Roman" w:hAnsi="Times New Roman" w:cs="Times New Roman"/>
          <w:sz w:val="24"/>
          <w:szCs w:val="24"/>
        </w:rPr>
        <w:t>уется наличием у ребенка познавательного интереса; умением в большинстве случаев видеть проблему, высказать предположения по данной проблеме, выдвижение единственного решения; правильностью в планировании; самостоятельности в выборе материала для экспериме</w:t>
      </w:r>
      <w:r>
        <w:rPr>
          <w:rFonts w:ascii="Times New Roman" w:eastAsia="Times New Roman" w:hAnsi="Times New Roman" w:cs="Times New Roman"/>
          <w:sz w:val="24"/>
          <w:szCs w:val="24"/>
        </w:rPr>
        <w:t>нтирования; настойчивостью и последовательностью в достижении цели; умением сформировать выводы самостоятельно, либо по наводящим вопросам; умением пользоваться доказательствами, но не всегда полно и логично;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деятельности требуется 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 направляющая помощь взрослого;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высокий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3 балла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характеризуется умением самостоятельно видеть проблему, правильностью формирования вопросов, выдвижения гипотез; предположения; способностью выдвигать способы решения, аргументируя и доказывая </w:t>
      </w:r>
      <w:r>
        <w:rPr>
          <w:rFonts w:ascii="Times New Roman" w:eastAsia="Times New Roman" w:hAnsi="Times New Roman" w:cs="Times New Roman"/>
          <w:sz w:val="24"/>
          <w:szCs w:val="24"/>
        </w:rPr>
        <w:t>их; самостоятельностью и осознанностью в планировании своей работы; способностью дать оценку результату, сделать выводы; замечать соответствие полученного результата гипотезе.</w:t>
      </w:r>
    </w:p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выделенным уровням можно проводить наблюдение за развитием исследовательской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Данным умениям необходимо целенаправленно обучать детей. Также для успешного осуществления исследовательской деятельности важно соблюдать логику проведения исследования, не нарушая последовательность и не исключая отдельные его этапы.</w:t>
      </w:r>
    </w:p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жание: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Детям были предложены задания: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1.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проверить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умения видеть проблемы и выдвигать гипотезы, предположения.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карточки с изображением Медведя, Лисы и Зайца; изображения окон в доме каждого из животных; </w:t>
      </w:r>
      <w:r>
        <w:rPr>
          <w:rFonts w:ascii="Times New Roman" w:eastAsia="Times New Roman" w:hAnsi="Times New Roman" w:cs="Times New Roman"/>
          <w:sz w:val="24"/>
          <w:szCs w:val="24"/>
        </w:rPr>
        <w:t>карточка прямоугольной формы, обозначающая отрез ткани.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Упражнение 1. Проверить уровень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умения видеть проблему.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задания: трое друзей – Медведь, Лиса и Заяц, отправились в магазин «Ткани» покупать отрез для штор. Им понравилась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одна и та же ткань. Но ее осталось немного. Как узнать, на чье окно можно сшить шторы из ткани?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предлагают свои варианты.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Упражнение 2. Проверить умение выдвигать гипотезы, строить предположения.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задания: ты определил на чье окошко можно сшить шторы из этого отреза ткани. А что можно бы сшить каждому из друзей из этой ткани?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проверить уровень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умения задавать вопросы.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карточки с изображени</w:t>
      </w:r>
      <w:r>
        <w:rPr>
          <w:rFonts w:ascii="Times New Roman" w:eastAsia="Times New Roman" w:hAnsi="Times New Roman" w:cs="Times New Roman"/>
          <w:sz w:val="24"/>
          <w:szCs w:val="24"/>
        </w:rPr>
        <w:t>ем деревьев, кувшинов, 3 мальчиков разного роста.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задания: посмотри внимательно на карточки, ты видишь на них разные предметы. Пожалуйста, задай мне как можно больше вопросов, глядя на эти карточки.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ребенок затрудняется или ограничивается 1 – 2 вопросами, ему можно помочь, подсказав, что вопросы могут быть самыми разными и необычными.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 проверить умение рассуждать, описывать явления, процессы и обобщать.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полоски – л</w:t>
      </w:r>
      <w:r>
        <w:rPr>
          <w:rFonts w:ascii="Times New Roman" w:eastAsia="Times New Roman" w:hAnsi="Times New Roman" w:cs="Times New Roman"/>
          <w:sz w:val="24"/>
          <w:szCs w:val="24"/>
        </w:rPr>
        <w:t>енточки, например, желтого цвета, разные по длине; 2 условные мерки – белая и красная, разной длины.</w:t>
      </w:r>
      <w:proofErr w:type="gramEnd"/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задания: наши знакомые Медведь, Лис и Заяц собрались в гости к кукле Насте. Они решили идти не с пустыми руками, а подарить новые ленты. Ленты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быть одинаковой длины. Но как это сделать, наши друзья не знают. Посмотри внимательно на ленты. Как ты думаешь, одинаковой длины они или нет? Давай проверим твои предположения с помощью мерок (ребенку предлагается измерить одну ленту белой меркой, </w:t>
      </w:r>
      <w:r>
        <w:rPr>
          <w:rFonts w:ascii="Times New Roman" w:eastAsia="Times New Roman" w:hAnsi="Times New Roman" w:cs="Times New Roman"/>
          <w:sz w:val="24"/>
          <w:szCs w:val="24"/>
        </w:rPr>
        <w:t>другую – красной). Сколько раз уложилась по длине первой ленты белая мерка? А по длине второй ленты – красная мерка? Как ты думаешь, почему получились разные числа? Как убедиться, что ленты одинаковой длины?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4.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определить умение проводить экс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перимент с реальным объектом, проверить умение делать выводы и умозаключения.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1. Определить умение проводить эксперимент.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пианино, кубик, карандаш, кружка, лист бумаги, мяч, веревка, кирпичик.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задания: предположим, что нек</w:t>
      </w:r>
      <w:r>
        <w:rPr>
          <w:rFonts w:ascii="Times New Roman" w:eastAsia="Times New Roman" w:hAnsi="Times New Roman" w:cs="Times New Roman"/>
          <w:sz w:val="24"/>
          <w:szCs w:val="24"/>
        </w:rPr>
        <w:t>оторое время музыкальные занятия будут проходить не в музыкальном зале, а в группе. Для этого нужно переставить пианино из зала к нам в группу. Единственное свободное место в группе между двух окон. Как узнать, войдет ли пианино на это место? Если дети зат</w:t>
      </w:r>
      <w:r>
        <w:rPr>
          <w:rFonts w:ascii="Times New Roman" w:eastAsia="Times New Roman" w:hAnsi="Times New Roman" w:cs="Times New Roman"/>
          <w:sz w:val="24"/>
          <w:szCs w:val="24"/>
        </w:rPr>
        <w:t>рудняются, подтолкнуть их к выводу, что можно было бы попробовать поставить на выбранное место, но это трудно и неудобно. Как еще можно проверить? Обратить внимание ребенка на предметы, которые лежат перед ним. Можно помочь ребенку, подсказав, что, использ</w:t>
      </w:r>
      <w:r>
        <w:rPr>
          <w:rFonts w:ascii="Times New Roman" w:eastAsia="Times New Roman" w:hAnsi="Times New Roman" w:cs="Times New Roman"/>
          <w:sz w:val="24"/>
          <w:szCs w:val="24"/>
        </w:rPr>
        <w:t>уя некоторые из имеющихся предметов, можно проверить, войдет ли место пианино. Как это сделать? Какими предметами удобнее воспользоваться? Что нужно сделать?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2. Проверить умение делать выводы и умозаключения.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задания: ты измерил пианино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разных предметов. Какой результат у тебя получился? Какими предметами было удобнее пользоваться? Почему? Зачем нужно было измерять пианино и то место, куда хотели его поставить?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Степень самостоятельности ребенка не этапах проведения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оценивалась по результатам наблюдения за деятельностью детей в процессе осуществления данной деятельности.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количественной обработки материалов была использована 3-бальная система. Использование математических расчетов дало возможность достаточно точно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объективно определить уровни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исследовательских умений старших дошкольников, а также четко фиксировать их продвижение в знаниях и умениях.</w:t>
      </w: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выполнения задания и стоящих в нем задач в специальную графу таблицы заносились отметки о ба</w:t>
      </w:r>
      <w:r>
        <w:rPr>
          <w:rFonts w:ascii="Times New Roman" w:eastAsia="Times New Roman" w:hAnsi="Times New Roman" w:cs="Times New Roman"/>
          <w:sz w:val="24"/>
          <w:szCs w:val="24"/>
        </w:rPr>
        <w:t>ллах. В процессе выполнения заданий использовались некоторые виды стимулирования деятельности детей: поощрения – похвалу, одобрение; помощь воспитателя.</w:t>
      </w:r>
    </w:p>
    <w:p w:rsidR="008A540E" w:rsidRDefault="008A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Проведя диагностику, мы получили следующие результаты, отраженные в диаграммах по каждой диагностическо</w:t>
      </w:r>
      <w:r>
        <w:rPr>
          <w:rFonts w:ascii="Times New Roman" w:eastAsia="Times New Roman" w:hAnsi="Times New Roman" w:cs="Times New Roman"/>
          <w:sz w:val="24"/>
          <w:szCs w:val="24"/>
        </w:rPr>
        <w:t>й методике, проведенной с двумя группами детей:</w:t>
      </w:r>
    </w:p>
    <w:p w:rsidR="008A540E" w:rsidRDefault="008A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B6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A57" w:rsidRDefault="00B6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A57" w:rsidRDefault="00B6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A57" w:rsidRDefault="00D43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и показатели выявления уровня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технологических компетенций в развитии предпосылок инженерного мышления у детей старшего дошкольного возраста</w:t>
      </w:r>
    </w:p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и показатели выявления уровн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компетенций в развитии предпосылок инженерного мышления у детей старшего дошкольного возраста, а также диагностические задания были разработаны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опорой на методику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Шиповской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>назовой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Л.И. </w:t>
      </w:r>
    </w:p>
    <w:p w:rsidR="00B67A57" w:rsidRDefault="00B6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D43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Диагностический инструментарий для проведения педагогического эксперимента</w:t>
      </w:r>
    </w:p>
    <w:p w:rsidR="00B67A57" w:rsidRDefault="00B6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37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593"/>
        <w:gridCol w:w="3005"/>
        <w:gridCol w:w="3543"/>
      </w:tblGrid>
      <w:tr w:rsidR="00B67A57">
        <w:tc>
          <w:tcPr>
            <w:tcW w:w="2235" w:type="dxa"/>
          </w:tcPr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Показатели</w:t>
            </w:r>
          </w:p>
        </w:tc>
        <w:tc>
          <w:tcPr>
            <w:tcW w:w="1593" w:type="dxa"/>
          </w:tcPr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Дидактические игры, вопросы, упражнения</w:t>
            </w:r>
          </w:p>
        </w:tc>
        <w:tc>
          <w:tcPr>
            <w:tcW w:w="3005" w:type="dxa"/>
          </w:tcPr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Содержание диагностического задания</w:t>
            </w:r>
          </w:p>
        </w:tc>
        <w:tc>
          <w:tcPr>
            <w:tcW w:w="3543" w:type="dxa"/>
          </w:tcPr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Критерии оценки</w:t>
            </w:r>
          </w:p>
        </w:tc>
      </w:tr>
      <w:tr w:rsidR="00B67A57">
        <w:tc>
          <w:tcPr>
            <w:tcW w:w="223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Выбор конструирования для совместной и/или самостоятельной деятельности; 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B67A57" w:rsidRDefault="00B67A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67A57" w:rsidRDefault="00D439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Наблюдение за поведением ребенка во время занятий и вне их</w:t>
            </w:r>
          </w:p>
        </w:tc>
        <w:tc>
          <w:tcPr>
            <w:tcW w:w="300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 дает оценку в процессе наблюдений за поведением ребенка во время занятий, анализирует детские вопросы</w:t>
            </w:r>
          </w:p>
        </w:tc>
        <w:tc>
          <w:tcPr>
            <w:tcW w:w="3543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 балл: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 проявляет интерес к конструированию, присоединяется к играющему взрослому или детям;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 балла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конструирование чаще для совместной деятельности, редко для самостоятельной деятельности</w:t>
            </w:r>
          </w:p>
          <w:p w:rsidR="00B67A57" w:rsidRDefault="00D4391E" w:rsidP="009D6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3 балла: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конструирование первым и для совместной и для самостоятельной деятельности;</w:t>
            </w:r>
          </w:p>
        </w:tc>
      </w:tr>
      <w:tr w:rsidR="00B67A57">
        <w:tc>
          <w:tcPr>
            <w:tcW w:w="223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Положительное отношение к процессу  деятельности и к ее результ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ату.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B67A57" w:rsidRDefault="00B67A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67A57" w:rsidRDefault="00D439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Наблюдение за поведением ребенка во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занятий и вне их</w:t>
            </w:r>
          </w:p>
        </w:tc>
        <w:tc>
          <w:tcPr>
            <w:tcW w:w="3005" w:type="dxa"/>
          </w:tcPr>
          <w:p w:rsidR="00B67A57" w:rsidRDefault="00B67A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67A57" w:rsidRDefault="00D439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Педагог дает оценку в процессе наблюдений за поведением ребенка во время занятий, анализирует детские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вопросы</w:t>
            </w:r>
          </w:p>
        </w:tc>
        <w:tc>
          <w:tcPr>
            <w:tcW w:w="3543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 балл: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роявляет интерес к </w:t>
            </w:r>
            <w:proofErr w:type="spellStart"/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ыражает</w:t>
            </w:r>
            <w:proofErr w:type="spellEnd"/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 отношение только к полученному результату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 балла: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интерес не только к результату, но и к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самому процессу конструирования, сопровождает его эмоциональными речевыми высказываниями;</w:t>
            </w:r>
          </w:p>
          <w:p w:rsidR="00B67A57" w:rsidRPr="009D6243" w:rsidRDefault="00D4391E" w:rsidP="009D6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3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Сопровождает свою деятельность яркой эмоциональной инициативной речью, выражающей отношение к ней;</w:t>
            </w:r>
          </w:p>
        </w:tc>
      </w:tr>
      <w:tr w:rsidR="00B67A57">
        <w:tc>
          <w:tcPr>
            <w:tcW w:w="223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Отбирать материал по форме, цвету, величине в определенном сочетании и в соответствии с замыслом;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B67A57" w:rsidRDefault="00B67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67A57" w:rsidRDefault="00D439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модель по ориентирам»</w:t>
            </w:r>
          </w:p>
        </w:tc>
        <w:tc>
          <w:tcPr>
            <w:tcW w:w="300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диктует ребятам, куда выставить деталь определённой формы и цвета. Используются следующие ориентиры положения: "левый верхний угол", "левый нижний угол", "правый верхний угол", "правый нижний угол", "середина левой стороны", "середина правой стороны",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ад",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"слева от", "справа от".</w:t>
            </w:r>
          </w:p>
          <w:p w:rsidR="00B67A57" w:rsidRDefault="00B67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 балл: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дборе конструктивного материала.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к передаче выразительности поделок, изменению их внешнего вида путем использования дополнительных деталей, комбинирования их друг с другом, изменения их пространственного расположения, величины, цвета;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Избирателен</w:t>
            </w:r>
            <w:proofErr w:type="gramEnd"/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подборе величины, фактуры, цвета конструктивного материала в плане их соответствия функции и характеру конструкции;</w:t>
            </w:r>
          </w:p>
          <w:p w:rsidR="00B67A57" w:rsidRPr="009D6243" w:rsidRDefault="00D4391E" w:rsidP="009D6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3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Тщательно подбирает цвет, величину, фактуру конструктивного материала для передачи характерных особенностей поделки;</w:t>
            </w:r>
          </w:p>
        </w:tc>
      </w:tr>
      <w:tr w:rsidR="00B67A57">
        <w:tc>
          <w:tcPr>
            <w:tcW w:w="223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Создавать замысел (образ будущей постройки)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B67A57" w:rsidRDefault="00B67A57">
            <w:pPr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highlight w:val="white"/>
              </w:rPr>
            </w:pPr>
          </w:p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Упражнение</w:t>
            </w:r>
          </w:p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«Построй, что хочешь»</w:t>
            </w:r>
          </w:p>
        </w:tc>
        <w:tc>
          <w:tcPr>
            <w:tcW w:w="300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построить то, что они хотят. Перед выполнением задания обязательно спросить, что каждый планирует построить. Дети рассказывают, из каких деталей будет состоять их конструкция. В процессе конструктивной деятельности педагог помогает детям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существить свой замысел. После выполнения постройки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обращается внимание на то, насколько результат соответствует замыслу. Дети рассказывают, как они строили, из каких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состоит постройка. Педагог добивается того, чтобы дети указывали, из каких строите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деталей построена каждая часть, какого они цвета, формы, величины, каким образом пространственно расположены. По окончании работы дети обыгрывают свои постройки.</w:t>
            </w:r>
          </w:p>
        </w:tc>
        <w:tc>
          <w:tcPr>
            <w:tcW w:w="3543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1 балл: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деятельность только с помощью взрослого. Проявляет либо полное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твие определенного замысла, либо привязанность к созданию знакомых конструкций, как по теме, так и по структуре;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 балла: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 создает как знакомые, так и новые конструкции;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3 балла: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Преднамеренно создает новые по теме конструкции как отдельные, так и связанные общим сюжетом;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A57">
        <w:tc>
          <w:tcPr>
            <w:tcW w:w="223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Определять средства его реализации (находить адекватные замыслу способы  конструирования)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B67A57" w:rsidRDefault="00B67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B67A57" w:rsidRDefault="00D439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быстрее»</w:t>
            </w:r>
          </w:p>
        </w:tc>
        <w:tc>
          <w:tcPr>
            <w:tcW w:w="300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делятся на две команды, задача каждой команды построить замок по образцу. Каждый ребенок из команды может взять только одну деталь, подбежав к столу, который находится в другой части комнаты. На этом столе выложены детали различных конструкторов, 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лежат вперемешку. Выиграет та команда, которая правильно определит вид конструктора, форму и цвет необходимых деталей, и построит замок быстрее второй команды.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образца можно так же использовать и другие постройки) </w:t>
            </w:r>
          </w:p>
        </w:tc>
        <w:tc>
          <w:tcPr>
            <w:tcW w:w="3543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 балл: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 владеет конструктивно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-техническими умениями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лишь знакомые конструкции</w:t>
            </w:r>
            <w:proofErr w:type="gramStart"/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для реализации задуманного знакомые способы конструирования и разные их комбинации;</w:t>
            </w:r>
          </w:p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3 балла: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Проектирует новые, либо комбинирует или видоизменяет известные способы конструирования, что приводит к новым оригинальным решениям;</w:t>
            </w:r>
          </w:p>
          <w:p w:rsidR="00B67A57" w:rsidRDefault="00B67A57" w:rsidP="009D62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A57">
        <w:tc>
          <w:tcPr>
            <w:tcW w:w="223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Намечать последовательность практических действий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B67A57" w:rsidRDefault="00B67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67A57" w:rsidRDefault="00D43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план»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демонстрирует ребёнку модель   машины, игрушки и просит рассказать, из каких деталей она состоит, а далее предположить пояснить, как он её будет делать. Если ребёнок затрудняется рассказать, воспитатель предлагает ему выложить последовательност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действий по выполнению данной модели из схем, в которых этапы перепутались.</w:t>
            </w:r>
          </w:p>
          <w:p w:rsidR="00B67A57" w:rsidRDefault="00B67A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67A57" w:rsidRDefault="00D43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 балл: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 выбирает целесообразную последовательность практических действий и может допускать ошибки в их выполнении.</w:t>
            </w:r>
          </w:p>
          <w:p w:rsidR="00B67A57" w:rsidRDefault="00D43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2 балла: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Намечает рациональную последовательность практических действий и качественно выполняет их.</w:t>
            </w:r>
          </w:p>
          <w:p w:rsidR="00B67A57" w:rsidRDefault="00D4391E" w:rsidP="009D6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3 балла: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D6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целесообразную последовательность практических действий, уверенно и качественно их выполняет.</w:t>
            </w:r>
          </w:p>
        </w:tc>
      </w:tr>
    </w:tbl>
    <w:p w:rsidR="00026EA8" w:rsidRDefault="00026E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7A57" w:rsidRDefault="00026EA8" w:rsidP="00026EA8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6525" cy="45243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67A57" w:rsidSect="00026EA8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7A57"/>
    <w:rsid w:val="00026EA8"/>
    <w:rsid w:val="008A540E"/>
    <w:rsid w:val="008B2F07"/>
    <w:rsid w:val="009D6243"/>
    <w:rsid w:val="00B67A57"/>
    <w:rsid w:val="00D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5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5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Показатели сформированности исследовательской деятельности на начальном этапе проекта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Выделение проблемы 
(находит противоречие, формулирует проблему)
</c:v>
                </c:pt>
                <c:pt idx="1">
                  <c:v>Формулирование вопросов</c:v>
                </c:pt>
                <c:pt idx="2">
                  <c:v>Умение рассуждать, описывать явления,
процессы и обобщать
</c:v>
                </c:pt>
                <c:pt idx="3">
                  <c:v>Степень самостоятельности при
проведении исследования
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Выделение проблемы 
(находит противоречие, формулирует проблему)
</c:v>
                </c:pt>
                <c:pt idx="1">
                  <c:v>Формулирование вопросов</c:v>
                </c:pt>
                <c:pt idx="2">
                  <c:v>Умение рассуждать, описывать явления,
процессы и обобщать
</c:v>
                </c:pt>
                <c:pt idx="3">
                  <c:v>Степень самостоятельности при
проведении исследования
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Выделение проблемы 
(находит противоречие, формулирует проблему)
</c:v>
                </c:pt>
                <c:pt idx="1">
                  <c:v>Формулирование вопросов</c:v>
                </c:pt>
                <c:pt idx="2">
                  <c:v>Умение рассуждать, описывать явления,
процессы и обобщать
</c:v>
                </c:pt>
                <c:pt idx="3">
                  <c:v>Степень самостоятельности при
проведении исследования
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12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34118272"/>
        <c:axId val="126787968"/>
      </c:barChart>
      <c:catAx>
        <c:axId val="34118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6787968"/>
        <c:crosses val="autoZero"/>
        <c:auto val="1"/>
        <c:lblAlgn val="ctr"/>
        <c:lblOffset val="100"/>
        <c:noMultiLvlLbl val="0"/>
      </c:catAx>
      <c:valAx>
        <c:axId val="126787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4118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Показатели уровня сформированности технологических компетенций в развитии предпосылок инженерного мышления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Выбор конструирования для совместной и/или самостоятельной деятельности; </c:v>
                </c:pt>
                <c:pt idx="1">
                  <c:v>Положительное отношение к процессу  деятельности и к ее результату.</c:v>
                </c:pt>
                <c:pt idx="2">
                  <c:v>Отбирать материал по форме, цвету, величине в определенном сочетании и в соответствии с замыслом;</c:v>
                </c:pt>
                <c:pt idx="3">
                  <c:v>Создавать замысел (образ будущей постройки)</c:v>
                </c:pt>
                <c:pt idx="4">
                  <c:v>Определять средства его реализации (находить адекватные замыслу способы  конструирования)</c:v>
                </c:pt>
                <c:pt idx="5">
                  <c:v>Намечать последовательность практических действий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Выбор конструирования для совместной и/или самостоятельной деятельности; </c:v>
                </c:pt>
                <c:pt idx="1">
                  <c:v>Положительное отношение к процессу  деятельности и к ее результату.</c:v>
                </c:pt>
                <c:pt idx="2">
                  <c:v>Отбирать материал по форме, цвету, величине в определенном сочетании и в соответствии с замыслом;</c:v>
                </c:pt>
                <c:pt idx="3">
                  <c:v>Создавать замысел (образ будущей постройки)</c:v>
                </c:pt>
                <c:pt idx="4">
                  <c:v>Определять средства его реализации (находить адекватные замыслу способы  конструирования)</c:v>
                </c:pt>
                <c:pt idx="5">
                  <c:v>Намечать последовательность практических действий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9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Выбор конструирования для совместной и/или самостоятельной деятельности; </c:v>
                </c:pt>
                <c:pt idx="1">
                  <c:v>Положительное отношение к процессу  деятельности и к ее результату.</c:v>
                </c:pt>
                <c:pt idx="2">
                  <c:v>Отбирать материал по форме, цвету, величине в определенном сочетании и в соответствии с замыслом;</c:v>
                </c:pt>
                <c:pt idx="3">
                  <c:v>Создавать замысел (образ будущей постройки)</c:v>
                </c:pt>
                <c:pt idx="4">
                  <c:v>Определять средства его реализации (находить адекватные замыслу способы  конструирования)</c:v>
                </c:pt>
                <c:pt idx="5">
                  <c:v>Намечать последовательность практических действий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7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2785536"/>
        <c:axId val="142791424"/>
      </c:barChart>
      <c:catAx>
        <c:axId val="142785536"/>
        <c:scaling>
          <c:orientation val="minMax"/>
        </c:scaling>
        <c:delete val="0"/>
        <c:axPos val="l"/>
        <c:majorTickMark val="none"/>
        <c:minorTickMark val="none"/>
        <c:tickLblPos val="low"/>
        <c:crossAx val="142791424"/>
        <c:crosses val="autoZero"/>
        <c:auto val="1"/>
        <c:lblAlgn val="ctr"/>
        <c:lblOffset val="100"/>
        <c:noMultiLvlLbl val="0"/>
      </c:catAx>
      <c:valAx>
        <c:axId val="1427914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2785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kAZmO8XHzSdaUExOF8WOBi3OpA==">CgMxLjAyCGguZ2pkZ3hzMghoLmdqZGd4czIIaC5namRneHM4AHIhMS1ReWo1YVI1WGJMS1R1SVFjRW1iYnJWOWtrekx0TG5M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Кузнецова</dc:creator>
  <cp:lastModifiedBy>ДС-116</cp:lastModifiedBy>
  <cp:revision>2</cp:revision>
  <dcterms:created xsi:type="dcterms:W3CDTF">2023-05-20T10:07:00Z</dcterms:created>
  <dcterms:modified xsi:type="dcterms:W3CDTF">2025-06-02T08:47:00Z</dcterms:modified>
</cp:coreProperties>
</file>